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7" w:rsidRPr="005B4B69" w:rsidRDefault="00E31667" w:rsidP="00E31667">
      <w:pPr>
        <w:pStyle w:val="Heading1"/>
        <w:jc w:val="center"/>
        <w:rPr>
          <w:rFonts w:ascii="Lucida Calligraphy" w:hAnsi="Lucida Calligraphy" w:cs="Arial"/>
          <w:color w:val="365F91" w:themeColor="accent1" w:themeShade="BF"/>
          <w:sz w:val="40"/>
          <w:szCs w:val="40"/>
        </w:rPr>
      </w:pPr>
      <w:bookmarkStart w:id="0" w:name="_GoBack"/>
      <w:bookmarkEnd w:id="0"/>
      <w:r w:rsidRPr="005B4B69">
        <w:rPr>
          <w:rFonts w:ascii="Lucida Calligraphy" w:hAnsi="Lucida Calligraphy" w:cs="Arial"/>
          <w:color w:val="365F91" w:themeColor="accent1" w:themeShade="BF"/>
          <w:sz w:val="40"/>
          <w:szCs w:val="40"/>
        </w:rPr>
        <w:t>Moški pevski zbor Ambrus</w:t>
      </w:r>
    </w:p>
    <w:p w:rsidR="00E31667" w:rsidRPr="007D0C43" w:rsidRDefault="00E31667" w:rsidP="00C5751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Začetki </w:t>
      </w:r>
      <w:r w:rsidRPr="00AA4790">
        <w:rPr>
          <w:rFonts w:ascii="Arial" w:hAnsi="Arial" w:cs="Arial"/>
          <w:i/>
        </w:rPr>
        <w:t>Moškega pevskega zbora</w:t>
      </w:r>
      <w:r w:rsidR="00AA4790" w:rsidRPr="00AA4790">
        <w:rPr>
          <w:rFonts w:ascii="Arial" w:hAnsi="Arial" w:cs="Arial"/>
          <w:i/>
        </w:rPr>
        <w:t xml:space="preserve"> Ambrus</w:t>
      </w:r>
      <w:r w:rsidR="00AA4790">
        <w:rPr>
          <w:rFonts w:ascii="Arial" w:hAnsi="Arial" w:cs="Arial"/>
        </w:rPr>
        <w:t xml:space="preserve"> </w:t>
      </w:r>
      <w:r w:rsidRPr="007D0C43">
        <w:rPr>
          <w:rFonts w:ascii="Arial" w:hAnsi="Arial" w:cs="Arial"/>
        </w:rPr>
        <w:t>segajo v maj leta 1991. Osem domačinov se je odločilo, da bodo svojo ljubezen do glasbe in petja ponesli d</w:t>
      </w:r>
      <w:r>
        <w:rPr>
          <w:rFonts w:ascii="Arial" w:hAnsi="Arial" w:cs="Arial"/>
        </w:rPr>
        <w:t>a</w:t>
      </w:r>
      <w:r w:rsidRPr="007D0C43">
        <w:rPr>
          <w:rFonts w:ascii="Arial" w:hAnsi="Arial" w:cs="Arial"/>
        </w:rPr>
        <w:t xml:space="preserve">lje. Osnovali so skupino, ki se je do konca leta 1993 na nastopih predstavljala kot </w:t>
      </w:r>
      <w:r w:rsidRPr="00AA4790">
        <w:rPr>
          <w:rFonts w:ascii="Arial" w:hAnsi="Arial" w:cs="Arial"/>
          <w:i/>
        </w:rPr>
        <w:t>Ambruški oktet</w:t>
      </w:r>
      <w:r w:rsidRPr="007D0C43">
        <w:rPr>
          <w:rFonts w:ascii="Arial" w:hAnsi="Arial" w:cs="Arial"/>
        </w:rPr>
        <w:t xml:space="preserve"> in se je ob ustanovitvi </w:t>
      </w:r>
      <w:r>
        <w:rPr>
          <w:rFonts w:ascii="Arial" w:hAnsi="Arial" w:cs="Arial"/>
        </w:rPr>
        <w:t>K</w:t>
      </w:r>
      <w:r w:rsidRPr="007D0C43">
        <w:rPr>
          <w:rFonts w:ascii="Arial" w:hAnsi="Arial" w:cs="Arial"/>
        </w:rPr>
        <w:t xml:space="preserve">ulturnega društva </w:t>
      </w:r>
      <w:r>
        <w:rPr>
          <w:rFonts w:ascii="Arial" w:hAnsi="Arial" w:cs="Arial"/>
        </w:rPr>
        <w:t>Ambrus v jeseni 1991</w:t>
      </w:r>
      <w:r w:rsidRPr="007D0C43">
        <w:rPr>
          <w:rFonts w:ascii="Arial" w:hAnsi="Arial" w:cs="Arial"/>
        </w:rPr>
        <w:t xml:space="preserve"> vanj tudi vključila. </w:t>
      </w:r>
    </w:p>
    <w:p w:rsidR="00E31667" w:rsidRPr="007D0C43" w:rsidRDefault="00E31667" w:rsidP="00C57517">
      <w:pPr>
        <w:pStyle w:val="NormalWeb"/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 xml:space="preserve">Z vključitvijo novih pevcev se je Ambruški oktet leta 1994 preimenoval v </w:t>
      </w:r>
      <w:r w:rsidRPr="00AA4790">
        <w:rPr>
          <w:rFonts w:ascii="Arial" w:hAnsi="Arial" w:cs="Arial"/>
          <w:i/>
        </w:rPr>
        <w:t>Moško vokalno skupino Ambrus</w:t>
      </w:r>
      <w:r w:rsidRPr="007D0C43">
        <w:rPr>
          <w:rFonts w:ascii="Arial" w:hAnsi="Arial" w:cs="Arial"/>
        </w:rPr>
        <w:t xml:space="preserve"> (MVS Ambrus), nekaj let kasneje pa v </w:t>
      </w:r>
      <w:r w:rsidRPr="00AA4790">
        <w:rPr>
          <w:rFonts w:ascii="Arial" w:hAnsi="Arial" w:cs="Arial"/>
          <w:i/>
        </w:rPr>
        <w:t>Moški pevski zbor Ambrus</w:t>
      </w:r>
      <w:r w:rsidRPr="007D0C43">
        <w:rPr>
          <w:rFonts w:ascii="Arial" w:hAnsi="Arial" w:cs="Arial"/>
        </w:rPr>
        <w:t xml:space="preserve"> (MoPZ Ambrus), kot velja še danes.</w:t>
      </w:r>
    </w:p>
    <w:p w:rsidR="00E31667" w:rsidRPr="007D0C43" w:rsidRDefault="00E31667" w:rsidP="00C57517">
      <w:pPr>
        <w:pStyle w:val="NormalWeb"/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 xml:space="preserve">Prepevajo predvsem slovenske narodne pesmi, pesmi, ki so ljudem blizu. S cerkvenimi pesmimi, ki so sestavni del njihovega repertoarja, pojejo pri mašah </w:t>
      </w:r>
      <w:proofErr w:type="spellStart"/>
      <w:r w:rsidRPr="007D0C43">
        <w:rPr>
          <w:rFonts w:ascii="Arial" w:hAnsi="Arial" w:cs="Arial"/>
        </w:rPr>
        <w:t>širom</w:t>
      </w:r>
      <w:proofErr w:type="spellEnd"/>
      <w:r w:rsidRPr="007D0C43">
        <w:rPr>
          <w:rFonts w:ascii="Arial" w:hAnsi="Arial" w:cs="Arial"/>
        </w:rPr>
        <w:t xml:space="preserve"> po Sloveniji. Dvakrat so gostovali v pobrateni občini </w:t>
      </w:r>
      <w:proofErr w:type="spellStart"/>
      <w:r w:rsidRPr="007D0C43">
        <w:rPr>
          <w:rFonts w:ascii="Arial" w:hAnsi="Arial" w:cs="Arial"/>
        </w:rPr>
        <w:t>Hirschaid</w:t>
      </w:r>
      <w:proofErr w:type="spellEnd"/>
      <w:r w:rsidRPr="007D0C43">
        <w:rPr>
          <w:rFonts w:ascii="Arial" w:hAnsi="Arial" w:cs="Arial"/>
        </w:rPr>
        <w:t xml:space="preserve"> v Nemčiji, kjer so bili zelo toplo sprejeti. Do sedaj so imeli blizu 450 nastopov. </w:t>
      </w:r>
    </w:p>
    <w:p w:rsidR="00E31667" w:rsidRPr="007D0C43" w:rsidRDefault="00E31667" w:rsidP="00C57517">
      <w:pPr>
        <w:jc w:val="both"/>
        <w:rPr>
          <w:rFonts w:ascii="Arial" w:hAnsi="Arial" w:cs="Arial"/>
        </w:rPr>
      </w:pPr>
    </w:p>
    <w:p w:rsidR="00E31667" w:rsidRPr="007D0C43" w:rsidRDefault="00E31667" w:rsidP="00C57517">
      <w:pPr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 xml:space="preserve">Zbor je sodeloval z različnimi pevskimi skupinami po Sloveniji. Najbolj se jim je vtisnil v spomin nastop na reviji pevskih zborov skupaj s </w:t>
      </w:r>
      <w:r w:rsidRPr="00AA4790">
        <w:rPr>
          <w:rFonts w:ascii="Arial" w:hAnsi="Arial" w:cs="Arial"/>
          <w:i/>
        </w:rPr>
        <w:t>Šentjurskim oktetom</w:t>
      </w:r>
      <w:r>
        <w:rPr>
          <w:rFonts w:ascii="Arial" w:hAnsi="Arial" w:cs="Arial"/>
        </w:rPr>
        <w:t>,</w:t>
      </w:r>
      <w:r w:rsidRPr="007D0C43">
        <w:rPr>
          <w:rFonts w:ascii="Arial" w:hAnsi="Arial" w:cs="Arial"/>
        </w:rPr>
        <w:t xml:space="preserve"> s katerim so tudi pozneje veliko sodelovali.</w:t>
      </w:r>
    </w:p>
    <w:p w:rsidR="00E31667" w:rsidRPr="007D0C43" w:rsidRDefault="00E31667" w:rsidP="00C57517">
      <w:pPr>
        <w:jc w:val="both"/>
        <w:rPr>
          <w:rFonts w:ascii="Arial" w:hAnsi="Arial" w:cs="Arial"/>
        </w:rPr>
      </w:pPr>
    </w:p>
    <w:p w:rsidR="00E31667" w:rsidRPr="007D0C43" w:rsidRDefault="00E31667" w:rsidP="00C57517">
      <w:pPr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 xml:space="preserve">Slovenske ljudske in umetne pesmi, ki predstavljajo večino njihovega repertoarja, ubrano zazvenijo. Veliko je priložnosti, da pevci pokažejo svoje znanje, svoje sposobnosti, da njihova pesem pride do izraza: proslave, koncerti, pevske revije, različne druge priložnosti, radi pa zapojejo tudi »kar tako«, za svojo lastno dušo. </w:t>
      </w:r>
    </w:p>
    <w:p w:rsidR="00E31667" w:rsidRPr="007D0C43" w:rsidRDefault="00E31667" w:rsidP="00E31667">
      <w:pPr>
        <w:jc w:val="both"/>
        <w:rPr>
          <w:rFonts w:ascii="Arial" w:hAnsi="Arial" w:cs="Arial"/>
        </w:rPr>
      </w:pPr>
    </w:p>
    <w:p w:rsidR="00E31667" w:rsidRDefault="00E31667" w:rsidP="00E31667">
      <w:pPr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 xml:space="preserve">V dvajsetih letih se je »zgodilo« </w:t>
      </w:r>
      <w:r>
        <w:rPr>
          <w:rFonts w:ascii="Arial" w:hAnsi="Arial" w:cs="Arial"/>
        </w:rPr>
        <w:t xml:space="preserve">veliko </w:t>
      </w:r>
      <w:r w:rsidRPr="007D0C43">
        <w:rPr>
          <w:rFonts w:ascii="Arial" w:hAnsi="Arial" w:cs="Arial"/>
        </w:rPr>
        <w:t xml:space="preserve">pevskih vaj, zamenjalo se je tudi precej pevcev. Vsak je na svoj način pripomogel, da je zbor rastel, živel in ustvarjal. </w:t>
      </w:r>
    </w:p>
    <w:p w:rsidR="00E31667" w:rsidRPr="007D0C43" w:rsidRDefault="00E31667" w:rsidP="00E31667">
      <w:pPr>
        <w:jc w:val="both"/>
        <w:rPr>
          <w:rFonts w:ascii="Arial" w:hAnsi="Arial" w:cs="Arial"/>
        </w:rPr>
      </w:pPr>
    </w:p>
    <w:p w:rsidR="00E31667" w:rsidRPr="007D0C43" w:rsidRDefault="00E31667" w:rsidP="00E31667">
      <w:pPr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 xml:space="preserve">Za svoje uspešno delo so 29. maja 2000, ob občinskem prazniku občine Ivančna Gorica, prejeli občinsko nagrado Občine Ivančna Gorica. </w:t>
      </w:r>
    </w:p>
    <w:p w:rsidR="00E31667" w:rsidRPr="007D0C43" w:rsidRDefault="00E31667" w:rsidP="00E31667">
      <w:pPr>
        <w:jc w:val="both"/>
        <w:rPr>
          <w:rFonts w:ascii="Arial" w:hAnsi="Arial" w:cs="Arial"/>
        </w:rPr>
      </w:pPr>
    </w:p>
    <w:p w:rsidR="00E31667" w:rsidRPr="007D0C43" w:rsidRDefault="00E31667" w:rsidP="00E31667">
      <w:pPr>
        <w:jc w:val="both"/>
        <w:rPr>
          <w:rFonts w:ascii="Arial" w:hAnsi="Arial" w:cs="Arial"/>
        </w:rPr>
      </w:pPr>
      <w:r w:rsidRPr="007D0C43">
        <w:rPr>
          <w:rFonts w:ascii="Arial" w:hAnsi="Arial" w:cs="Arial"/>
        </w:rPr>
        <w:t>Zbor že od začetka vodi g. Ciril Hočevar.</w:t>
      </w:r>
    </w:p>
    <w:p w:rsidR="00E31667" w:rsidRDefault="002F582C" w:rsidP="00E31667">
      <w:pPr>
        <w:tabs>
          <w:tab w:val="center" w:pos="4536"/>
          <w:tab w:val="left" w:pos="5940"/>
        </w:tabs>
        <w:spacing w:line="480" w:lineRule="auto"/>
        <w:jc w:val="center"/>
        <w:rPr>
          <w:sz w:val="40"/>
        </w:rPr>
      </w:pPr>
      <w:r>
        <w:rPr>
          <w:sz w:val="40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72.25pt;height:85.5pt" adj=",10800" fillcolor="#99f" stroked="f">
            <v:fill color2="#099" focus="100%" type="gradient"/>
            <v:shadow on="t" color="silver" opacity="52429f" offset="3pt,3pt"/>
            <v:textpath style="font-family:&quot;Lucida Handwriting&quot;;font-size:60pt;v-text-kern:t" trim="t" fitpath="t" string="KONCERT"/>
          </v:shape>
        </w:pict>
      </w:r>
    </w:p>
    <w:p w:rsidR="00E31667" w:rsidRDefault="002F582C" w:rsidP="00E31667">
      <w:pPr>
        <w:jc w:val="center"/>
        <w:rPr>
          <w:rFonts w:ascii="Calibri" w:eastAsia="Calibri" w:hAnsi="Calibri"/>
          <w:sz w:val="32"/>
        </w:rPr>
      </w:pPr>
      <w:r>
        <w:rPr>
          <w:rFonts w:ascii="Castellar" w:hAnsi="Castellar"/>
          <w:b/>
          <w:bCs/>
          <w:color w:val="943634"/>
          <w:sz w:val="72"/>
          <w:lang w:eastAsia="sl-SI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42.75pt;height:33.75pt" adj=",10800" fillcolor="#365f91 [2404]" stroked="f">
            <v:fill color2="#099"/>
            <v:shadow color="silver" opacity="52429f" offset="3pt,3pt"/>
            <v:textpath style="font-family:&quot;Castellar&quot;;font-size:24pt;font-weight:bold" fitshape="t" trim="t" string="Moškega pevskega zbora Ambrus"/>
          </v:shape>
        </w:pict>
      </w:r>
    </w:p>
    <w:p w:rsidR="00E31667" w:rsidRPr="00CE452F" w:rsidRDefault="002F582C" w:rsidP="00E31667">
      <w:pPr>
        <w:pStyle w:val="Heading3"/>
        <w:spacing w:line="360" w:lineRule="auto"/>
        <w:rPr>
          <w:sz w:val="72"/>
          <w:szCs w:val="72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5.5pt;height:58.5pt" adj=",10800" fillcolor="#548dd4 [1951]" strokecolor="#33c" strokeweight="1pt">
            <v:fill opacity=".5"/>
            <v:shadow color="#99f" offset="3pt"/>
            <v:textpath style="font-family:&quot;Arial Black&quot;;v-text-kern:t" trim="t" fitpath="t" string="ob 20-letnici delovanja"/>
          </v:shape>
        </w:pict>
      </w:r>
    </w:p>
    <w:p w:rsidR="00E31667" w:rsidRPr="005B4B69" w:rsidRDefault="00E31667" w:rsidP="00E31667">
      <w:pPr>
        <w:jc w:val="center"/>
        <w:rPr>
          <w:rFonts w:ascii="Arial Rounded MT Bold" w:eastAsia="Calibri" w:hAnsi="Arial Rounded MT Bold"/>
          <w:b/>
          <w:bCs/>
          <w:color w:val="365F91" w:themeColor="accent1" w:themeShade="BF"/>
          <w:sz w:val="56"/>
          <w:szCs w:val="56"/>
        </w:rPr>
      </w:pPr>
      <w:r w:rsidRPr="005B4B69">
        <w:rPr>
          <w:rFonts w:ascii="Arial Rounded MT Bold" w:eastAsia="Calibri" w:hAnsi="Arial Rounded MT Bold"/>
          <w:b/>
          <w:bCs/>
          <w:color w:val="365F91" w:themeColor="accent1" w:themeShade="BF"/>
          <w:sz w:val="56"/>
          <w:szCs w:val="56"/>
        </w:rPr>
        <w:t>sobota, 7. 5. 2011 ob 19:30</w:t>
      </w:r>
    </w:p>
    <w:p w:rsidR="00E31667" w:rsidRDefault="00E31667" w:rsidP="00E31667">
      <w:pPr>
        <w:jc w:val="center"/>
        <w:rPr>
          <w:rFonts w:ascii="Calibri" w:eastAsia="Calibri" w:hAnsi="Calibri"/>
          <w:b/>
          <w:noProof/>
          <w:color w:val="540000"/>
          <w:sz w:val="56"/>
          <w:szCs w:val="56"/>
          <w:lang w:eastAsia="sl-SI"/>
        </w:rPr>
      </w:pPr>
      <w:r>
        <w:rPr>
          <w:rFonts w:ascii="Calibri" w:eastAsia="Calibri" w:hAnsi="Calibri"/>
          <w:b/>
          <w:noProof/>
          <w:color w:val="540000"/>
          <w:sz w:val="56"/>
          <w:szCs w:val="56"/>
          <w:lang w:eastAsia="sl-SI"/>
        </w:rPr>
        <w:drawing>
          <wp:inline distT="0" distB="0" distL="0" distR="0">
            <wp:extent cx="4600575" cy="3086100"/>
            <wp:effectExtent l="19050" t="0" r="9525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06_1641989702442_1617818794_31354875_6180620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11B9" w:rsidRDefault="000911B9" w:rsidP="00E31667"/>
    <w:p w:rsidR="00E31667" w:rsidRPr="009830D6" w:rsidRDefault="00E31667" w:rsidP="00642F17">
      <w:pPr>
        <w:pStyle w:val="Telobesedila21"/>
        <w:pBdr>
          <w:bottom w:val="single" w:sz="4" w:space="1" w:color="000000"/>
        </w:pBdr>
        <w:rPr>
          <w:rFonts w:ascii="Lucida Calligraphy" w:hAnsi="Lucida Calligraphy"/>
          <w:bCs/>
          <w:color w:val="365F91" w:themeColor="accent1" w:themeShade="BF"/>
          <w:spacing w:val="1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0D6">
        <w:rPr>
          <w:rFonts w:ascii="Lucida Calligraphy" w:hAnsi="Lucida Calligraphy"/>
          <w:bCs/>
          <w:color w:val="365F91" w:themeColor="accent1" w:themeShade="BF"/>
          <w:spacing w:val="1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MOPZ AMBRUS</w:t>
      </w:r>
    </w:p>
    <w:p w:rsidR="00E31667" w:rsidRDefault="00E31667" w:rsidP="00E31667">
      <w:pPr>
        <w:ind w:left="360"/>
        <w:rPr>
          <w:rFonts w:ascii="Arial" w:hAnsi="Arial" w:cs="Arial"/>
          <w:sz w:val="22"/>
          <w:u w:val="single"/>
        </w:rPr>
      </w:pPr>
    </w:p>
    <w:p w:rsidR="00E31667" w:rsidRPr="00412DCC" w:rsidRDefault="00E31667" w:rsidP="00E31667">
      <w:pPr>
        <w:rPr>
          <w:b/>
          <w:sz w:val="28"/>
          <w:szCs w:val="28"/>
          <w:u w:val="single"/>
        </w:rPr>
      </w:pPr>
      <w:r w:rsidRPr="00412DCC">
        <w:rPr>
          <w:b/>
          <w:sz w:val="28"/>
          <w:szCs w:val="28"/>
          <w:u w:val="single"/>
        </w:rPr>
        <w:t>Pevci, ki so peli pri Moškem pevskem zboru Ambrus</w:t>
      </w:r>
      <w:r>
        <w:rPr>
          <w:b/>
          <w:sz w:val="28"/>
          <w:szCs w:val="28"/>
          <w:u w:val="single"/>
        </w:rPr>
        <w:t>:</w:t>
      </w:r>
    </w:p>
    <w:p w:rsidR="00E31667" w:rsidRDefault="00E31667" w:rsidP="00E31667"/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 xml:space="preserve">Tone Muhič: 1991 – 1993 </w:t>
      </w:r>
    </w:p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 xml:space="preserve">Robert Bradač: 1991 – 1996  </w:t>
      </w:r>
    </w:p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 xml:space="preserve">Jože Zajc: 1991 – 1999 </w:t>
      </w:r>
    </w:p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>Jože Perko: 199</w:t>
      </w:r>
      <w:r>
        <w:rPr>
          <w:sz w:val="28"/>
          <w:szCs w:val="28"/>
        </w:rPr>
        <w:t>1</w:t>
      </w:r>
      <w:r w:rsidRPr="00412DCC">
        <w:rPr>
          <w:sz w:val="28"/>
          <w:szCs w:val="28"/>
        </w:rPr>
        <w:t xml:space="preserve"> – 1996 </w:t>
      </w:r>
    </w:p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 xml:space="preserve">Gregor Vidmar: 1996 – 2002 </w:t>
      </w:r>
    </w:p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>Stane Godec: 1994 – 2009</w:t>
      </w:r>
    </w:p>
    <w:p w:rsidR="00E31667" w:rsidRPr="00412DCC" w:rsidRDefault="00E31667" w:rsidP="00E31667">
      <w:pPr>
        <w:rPr>
          <w:sz w:val="28"/>
          <w:szCs w:val="28"/>
        </w:rPr>
      </w:pPr>
      <w:r w:rsidRPr="00412DCC">
        <w:rPr>
          <w:sz w:val="28"/>
          <w:szCs w:val="28"/>
        </w:rPr>
        <w:t>Jože Hočevar: 1991 – 2010</w:t>
      </w:r>
    </w:p>
    <w:p w:rsidR="00E31667" w:rsidRPr="00412DCC" w:rsidRDefault="00E31667" w:rsidP="00E31667">
      <w:pPr>
        <w:rPr>
          <w:rFonts w:ascii="Arial" w:hAnsi="Arial" w:cs="Arial"/>
          <w:sz w:val="28"/>
          <w:szCs w:val="28"/>
        </w:rPr>
      </w:pPr>
    </w:p>
    <w:p w:rsidR="00E31667" w:rsidRDefault="00F74A01" w:rsidP="00E31667">
      <w:pPr>
        <w:pBdr>
          <w:bottom w:val="dotted" w:sz="24" w:space="1" w:color="auto"/>
        </w:pBd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69850</wp:posOffset>
            </wp:positionV>
            <wp:extent cx="2552700" cy="1647825"/>
            <wp:effectExtent l="19050" t="0" r="0" b="200025"/>
            <wp:wrapNone/>
            <wp:docPr id="5" name="Slika 4" descr="slike- mpz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- mpz 002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47825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anchor>
        </w:drawing>
      </w:r>
    </w:p>
    <w:p w:rsidR="00E31667" w:rsidRDefault="00E31667" w:rsidP="00E31667"/>
    <w:p w:rsidR="00E31667" w:rsidRDefault="00E31667" w:rsidP="00E31667"/>
    <w:p w:rsidR="00E31667" w:rsidRDefault="00E31667" w:rsidP="00E31667">
      <w:pPr>
        <w:rPr>
          <w:b/>
          <w:sz w:val="32"/>
          <w:szCs w:val="32"/>
          <w:u w:val="single"/>
        </w:rPr>
      </w:pPr>
      <w:r w:rsidRPr="00412DCC">
        <w:rPr>
          <w:b/>
          <w:sz w:val="32"/>
          <w:szCs w:val="32"/>
          <w:u w:val="single"/>
        </w:rPr>
        <w:t xml:space="preserve">Sedanja sestava </w:t>
      </w:r>
      <w:r>
        <w:rPr>
          <w:b/>
          <w:sz w:val="32"/>
          <w:szCs w:val="32"/>
          <w:u w:val="single"/>
        </w:rPr>
        <w:t xml:space="preserve">zbora </w:t>
      </w:r>
      <w:r w:rsidRPr="00412DCC">
        <w:rPr>
          <w:b/>
          <w:sz w:val="32"/>
          <w:szCs w:val="32"/>
          <w:u w:val="single"/>
        </w:rPr>
        <w:t xml:space="preserve">(2011): </w:t>
      </w:r>
    </w:p>
    <w:p w:rsidR="00E31667" w:rsidRPr="00412DCC" w:rsidRDefault="00E31667" w:rsidP="00E31667">
      <w:pPr>
        <w:rPr>
          <w:b/>
          <w:sz w:val="32"/>
          <w:szCs w:val="32"/>
          <w:u w:val="single"/>
        </w:rPr>
      </w:pPr>
    </w:p>
    <w:p w:rsidR="00E31667" w:rsidRPr="0083156A" w:rsidRDefault="00E31667" w:rsidP="00E31667">
      <w:pPr>
        <w:rPr>
          <w:b/>
        </w:rPr>
      </w:pPr>
      <w:r w:rsidRPr="0083156A">
        <w:rPr>
          <w:b/>
        </w:rPr>
        <w:t>Ciril Hočevar (1991)</w:t>
      </w:r>
      <w:r>
        <w:rPr>
          <w:b/>
        </w:rPr>
        <w:t xml:space="preserve"> </w:t>
      </w:r>
      <w:r w:rsidRPr="0083156A">
        <w:rPr>
          <w:b/>
        </w:rPr>
        <w:t>– 2</w:t>
      </w:r>
      <w:r>
        <w:rPr>
          <w:b/>
        </w:rPr>
        <w:t>.</w:t>
      </w:r>
      <w:r w:rsidRPr="0083156A">
        <w:rPr>
          <w:b/>
        </w:rPr>
        <w:t xml:space="preserve"> tenor / </w:t>
      </w:r>
      <w:r w:rsidRPr="0083156A">
        <w:rPr>
          <w:b/>
          <w:u w:val="single"/>
        </w:rPr>
        <w:t xml:space="preserve">zborovodja </w:t>
      </w:r>
    </w:p>
    <w:p w:rsidR="00E31667" w:rsidRDefault="00E31667" w:rsidP="00E31667">
      <w:r>
        <w:t>Ciril Šinkovec (2006) – 2. tenor</w:t>
      </w:r>
    </w:p>
    <w:p w:rsidR="00E31667" w:rsidRDefault="00E31667" w:rsidP="00E31667">
      <w:r>
        <w:t>Tone Žnidaršič (1991) – 2. tenor</w:t>
      </w:r>
    </w:p>
    <w:p w:rsidR="00E31667" w:rsidRDefault="00E31667" w:rsidP="00E31667"/>
    <w:p w:rsidR="00E31667" w:rsidRDefault="00E31667" w:rsidP="00E31667">
      <w:r>
        <w:t>Jože Novak (1995) – 1. tenor</w:t>
      </w:r>
    </w:p>
    <w:p w:rsidR="00E31667" w:rsidRDefault="00E31667" w:rsidP="00E31667">
      <w:r>
        <w:t>Marko  Mirtič (2009) – 1. tenor</w:t>
      </w:r>
    </w:p>
    <w:p w:rsidR="00E31667" w:rsidRDefault="00E31667" w:rsidP="00E31667">
      <w:r>
        <w:t>Tone Boben (2010) – 1. tenor</w:t>
      </w:r>
    </w:p>
    <w:p w:rsidR="00E31667" w:rsidRDefault="00F74A01" w:rsidP="00E31667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66040</wp:posOffset>
            </wp:positionV>
            <wp:extent cx="2162175" cy="1609725"/>
            <wp:effectExtent l="19050" t="0" r="9525" b="200025"/>
            <wp:wrapNone/>
            <wp:docPr id="7" name="Slika 6" descr="PICT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2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9725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anchor>
        </w:drawing>
      </w:r>
    </w:p>
    <w:p w:rsidR="00E31667" w:rsidRDefault="00E31667" w:rsidP="00E31667">
      <w:r>
        <w:t xml:space="preserve">Lojze Šinkovec (1994) – 1. bas </w:t>
      </w:r>
    </w:p>
    <w:p w:rsidR="00E31667" w:rsidRDefault="00E31667" w:rsidP="00E31667">
      <w:r>
        <w:t>Brane Hočevar (1993) – 1. bas</w:t>
      </w:r>
    </w:p>
    <w:p w:rsidR="00E31667" w:rsidRDefault="00E31667" w:rsidP="00E31667">
      <w:r>
        <w:t>Rok Muhič (2011) – 1. bas</w:t>
      </w:r>
    </w:p>
    <w:p w:rsidR="00E31667" w:rsidRDefault="00E31667" w:rsidP="00E31667"/>
    <w:p w:rsidR="00E31667" w:rsidRDefault="00E31667" w:rsidP="00E31667">
      <w:r>
        <w:t>Viktor Muhič (1993) – 2. bas</w:t>
      </w:r>
    </w:p>
    <w:p w:rsidR="00E31667" w:rsidRDefault="00E31667" w:rsidP="00E31667">
      <w:r>
        <w:t>Robert Boben (2010) – 2. bas</w:t>
      </w:r>
    </w:p>
    <w:p w:rsidR="00E31667" w:rsidRDefault="00E31667" w:rsidP="00E31667">
      <w:r>
        <w:t>Stane Zupančič (1991) – 2. bas</w:t>
      </w:r>
    </w:p>
    <w:p w:rsidR="00E31667" w:rsidRDefault="00E31667" w:rsidP="00E31667">
      <w:r>
        <w:t xml:space="preserve">France Perko (1995) – 2. bas </w:t>
      </w:r>
    </w:p>
    <w:p w:rsidR="00E31667" w:rsidRDefault="00E31667" w:rsidP="00E31667"/>
    <w:p w:rsidR="00E31667" w:rsidRDefault="00E31667" w:rsidP="00E31667"/>
    <w:p w:rsidR="00E31667" w:rsidRDefault="00E31667" w:rsidP="00E31667"/>
    <w:p w:rsidR="00E31667" w:rsidRDefault="00F74A01" w:rsidP="00E31667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-55245</wp:posOffset>
            </wp:positionV>
            <wp:extent cx="2647950" cy="1726565"/>
            <wp:effectExtent l="19050" t="0" r="0" b="216535"/>
            <wp:wrapNone/>
            <wp:docPr id="2" name="Slika 1" descr="slike- mp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- mpz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6565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anchor>
        </w:drawing>
      </w:r>
    </w:p>
    <w:p w:rsidR="00E31667" w:rsidRDefault="00E31667" w:rsidP="00E31667"/>
    <w:p w:rsidR="000D0D26" w:rsidRDefault="000D0D26" w:rsidP="00E31667"/>
    <w:p w:rsidR="000D0D26" w:rsidRDefault="000D0D26" w:rsidP="00E31667"/>
    <w:p w:rsidR="000D0D26" w:rsidRDefault="000D0D26" w:rsidP="00E31667"/>
    <w:p w:rsidR="000D0D26" w:rsidRDefault="000D0D26" w:rsidP="00E31667"/>
    <w:p w:rsidR="000D0D26" w:rsidRDefault="000D0D26" w:rsidP="00E31667"/>
    <w:p w:rsidR="000D0D26" w:rsidRDefault="000D0D26" w:rsidP="00E31667"/>
    <w:p w:rsidR="000D0D26" w:rsidRDefault="000D0D26" w:rsidP="00E31667"/>
    <w:p w:rsidR="000D0D26" w:rsidRDefault="000D0D26" w:rsidP="00E31667"/>
    <w:p w:rsidR="000D0D26" w:rsidRDefault="00F74A01" w:rsidP="00E31667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49530</wp:posOffset>
            </wp:positionV>
            <wp:extent cx="2571750" cy="1645285"/>
            <wp:effectExtent l="19050" t="0" r="0" b="183515"/>
            <wp:wrapNone/>
            <wp:docPr id="3" name="Slika 2" descr="slike- mpz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- mpz 001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45285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anchor>
        </w:drawing>
      </w:r>
    </w:p>
    <w:p w:rsidR="00346863" w:rsidRDefault="00346863" w:rsidP="00E31667">
      <w:r>
        <w:t>AMBR</w:t>
      </w:r>
      <w:r w:rsidR="00AA4790">
        <w:t>U</w:t>
      </w:r>
      <w:r>
        <w:t>ŠKI OKTET-  Triglav, julij 1992</w:t>
      </w:r>
    </w:p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/>
    <w:p w:rsidR="00346863" w:rsidRDefault="00346863" w:rsidP="00E31667">
      <w:r>
        <w:t xml:space="preserve">                                                                       Ig, 1997</w:t>
      </w:r>
    </w:p>
    <w:p w:rsidR="00346863" w:rsidRDefault="00F74A01" w:rsidP="00E31667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166370</wp:posOffset>
            </wp:positionV>
            <wp:extent cx="2486025" cy="1638300"/>
            <wp:effectExtent l="19050" t="0" r="9525" b="190500"/>
            <wp:wrapNone/>
            <wp:docPr id="6" name="Slika 5" descr="slike- mpz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e- mpz 0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38300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anchor>
        </w:drawing>
      </w:r>
    </w:p>
    <w:p w:rsidR="00346863" w:rsidRDefault="00346863" w:rsidP="00E31667"/>
    <w:p w:rsidR="00346863" w:rsidRDefault="00346863" w:rsidP="00E31667"/>
    <w:p w:rsidR="00F74A01" w:rsidRDefault="00F74A01" w:rsidP="00E31667">
      <w:r>
        <w:t>Ljubljana, 11.</w:t>
      </w:r>
      <w:r w:rsidR="00AA4790">
        <w:t xml:space="preserve"> </w:t>
      </w:r>
      <w:r>
        <w:t>5.</w:t>
      </w:r>
      <w:r w:rsidR="00AA4790">
        <w:t xml:space="preserve"> </w:t>
      </w:r>
      <w:r>
        <w:t>2001</w:t>
      </w:r>
    </w:p>
    <w:p w:rsidR="00F74A01" w:rsidRDefault="00F74A01" w:rsidP="00E31667"/>
    <w:p w:rsidR="00F74A01" w:rsidRDefault="00F74A01" w:rsidP="00E31667"/>
    <w:p w:rsidR="00F74A01" w:rsidRDefault="00F74A01" w:rsidP="00E31667"/>
    <w:p w:rsidR="00F74A01" w:rsidRDefault="00F74A01" w:rsidP="00E31667"/>
    <w:p w:rsidR="00F74A01" w:rsidRDefault="00F74A01" w:rsidP="00E31667"/>
    <w:p w:rsidR="00F74A01" w:rsidRDefault="00F74A01" w:rsidP="00E31667"/>
    <w:p w:rsidR="00F74A01" w:rsidRDefault="00F74A01" w:rsidP="00E31667">
      <w:r>
        <w:t xml:space="preserve">                                                                    </w:t>
      </w:r>
    </w:p>
    <w:p w:rsidR="00F74A01" w:rsidRDefault="00F74A01" w:rsidP="00E31667">
      <w:r>
        <w:t xml:space="preserve">                                                            </w:t>
      </w:r>
    </w:p>
    <w:p w:rsidR="00F74A01" w:rsidRDefault="00F74A01" w:rsidP="00E31667">
      <w:r>
        <w:t xml:space="preserve">                                                             </w:t>
      </w:r>
      <w:proofErr w:type="spellStart"/>
      <w:r>
        <w:t>Hirs</w:t>
      </w:r>
      <w:r w:rsidR="00AA4790">
        <w:t>c</w:t>
      </w:r>
      <w:r>
        <w:t>haid</w:t>
      </w:r>
      <w:proofErr w:type="spellEnd"/>
      <w:r>
        <w:t>, Nemčija, 2002</w:t>
      </w:r>
    </w:p>
    <w:p w:rsidR="00F74A01" w:rsidRDefault="00F74A01" w:rsidP="00E31667"/>
    <w:p w:rsidR="00F74A01" w:rsidRDefault="00F74A01" w:rsidP="00E31667"/>
    <w:p w:rsidR="00F74A01" w:rsidRDefault="00F74A01" w:rsidP="00E31667"/>
    <w:p w:rsidR="00F74A01" w:rsidRDefault="00F74A01" w:rsidP="00E31667">
      <w:r>
        <w:t>Velika Planina, 2006</w:t>
      </w:r>
    </w:p>
    <w:sectPr w:rsidR="00F74A01" w:rsidSect="00E31667">
      <w:pgSz w:w="16838" w:h="11906" w:orient="landscape"/>
      <w:pgMar w:top="567" w:right="678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2C" w:rsidRDefault="002F582C" w:rsidP="00E31667">
      <w:r>
        <w:separator/>
      </w:r>
    </w:p>
  </w:endnote>
  <w:endnote w:type="continuationSeparator" w:id="0">
    <w:p w:rsidR="002F582C" w:rsidRDefault="002F582C" w:rsidP="00E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2C" w:rsidRDefault="002F582C" w:rsidP="00E31667">
      <w:r>
        <w:separator/>
      </w:r>
    </w:p>
  </w:footnote>
  <w:footnote w:type="continuationSeparator" w:id="0">
    <w:p w:rsidR="002F582C" w:rsidRDefault="002F582C" w:rsidP="00E3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7"/>
    <w:rsid w:val="00032B0F"/>
    <w:rsid w:val="000778F5"/>
    <w:rsid w:val="000911B9"/>
    <w:rsid w:val="000A54A9"/>
    <w:rsid w:val="000D0D26"/>
    <w:rsid w:val="002568D3"/>
    <w:rsid w:val="00293C59"/>
    <w:rsid w:val="002D2AB4"/>
    <w:rsid w:val="002F582C"/>
    <w:rsid w:val="00346863"/>
    <w:rsid w:val="003A2410"/>
    <w:rsid w:val="003D0252"/>
    <w:rsid w:val="00545DC8"/>
    <w:rsid w:val="005B4B69"/>
    <w:rsid w:val="006427F6"/>
    <w:rsid w:val="00642F17"/>
    <w:rsid w:val="00643DBD"/>
    <w:rsid w:val="006C6699"/>
    <w:rsid w:val="007B37A5"/>
    <w:rsid w:val="00813160"/>
    <w:rsid w:val="00884EF8"/>
    <w:rsid w:val="009830D6"/>
    <w:rsid w:val="00AA4790"/>
    <w:rsid w:val="00B01B92"/>
    <w:rsid w:val="00B36A71"/>
    <w:rsid w:val="00BD6D98"/>
    <w:rsid w:val="00C57517"/>
    <w:rsid w:val="00E31667"/>
    <w:rsid w:val="00E426AA"/>
    <w:rsid w:val="00F47CC5"/>
    <w:rsid w:val="00F74A01"/>
    <w:rsid w:val="00F97253"/>
    <w:rsid w:val="00FA19FD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7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31667"/>
    <w:pPr>
      <w:keepNext/>
      <w:numPr>
        <w:numId w:val="1"/>
      </w:numPr>
      <w:ind w:left="-540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667"/>
  </w:style>
  <w:style w:type="paragraph" w:styleId="Footer">
    <w:name w:val="footer"/>
    <w:basedOn w:val="Normal"/>
    <w:link w:val="FooterChar"/>
    <w:uiPriority w:val="99"/>
    <w:semiHidden/>
    <w:unhideWhenUsed/>
    <w:rsid w:val="00E31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67"/>
  </w:style>
  <w:style w:type="character" w:customStyle="1" w:styleId="Heading1Char">
    <w:name w:val="Heading 1 Char"/>
    <w:basedOn w:val="DefaultParagraphFont"/>
    <w:link w:val="Heading1"/>
    <w:rsid w:val="00E31667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31667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lobesedila21">
    <w:name w:val="Telo besedila 21"/>
    <w:basedOn w:val="Normal"/>
    <w:rsid w:val="00E31667"/>
    <w:pPr>
      <w:jc w:val="center"/>
    </w:pPr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7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31667"/>
    <w:pPr>
      <w:keepNext/>
      <w:numPr>
        <w:numId w:val="1"/>
      </w:numPr>
      <w:ind w:left="-540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667"/>
  </w:style>
  <w:style w:type="paragraph" w:styleId="Footer">
    <w:name w:val="footer"/>
    <w:basedOn w:val="Normal"/>
    <w:link w:val="FooterChar"/>
    <w:uiPriority w:val="99"/>
    <w:semiHidden/>
    <w:unhideWhenUsed/>
    <w:rsid w:val="00E31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67"/>
  </w:style>
  <w:style w:type="character" w:customStyle="1" w:styleId="Heading1Char">
    <w:name w:val="Heading 1 Char"/>
    <w:basedOn w:val="DefaultParagraphFont"/>
    <w:link w:val="Heading1"/>
    <w:rsid w:val="00E31667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31667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lobesedila21">
    <w:name w:val="Telo besedila 21"/>
    <w:basedOn w:val="Normal"/>
    <w:rsid w:val="00E31667"/>
    <w:pPr>
      <w:jc w:val="center"/>
    </w:pPr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Slovenija d.d.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Racunalnik 3</dc:creator>
  <cp:lastModifiedBy>Tekavcic Matej</cp:lastModifiedBy>
  <cp:revision>2</cp:revision>
  <dcterms:created xsi:type="dcterms:W3CDTF">2011-05-04T16:12:00Z</dcterms:created>
  <dcterms:modified xsi:type="dcterms:W3CDTF">2011-05-04T16:12:00Z</dcterms:modified>
</cp:coreProperties>
</file>